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F42A3">
      <w:pPr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 w14:paraId="4EBE2215">
      <w:pPr>
        <w:jc w:val="center"/>
        <w:rPr>
          <w:rFonts w:ascii="Times New Roman" w:hAnsi="Times New Roman" w:eastAsia="仿宋_GB2312"/>
          <w:b/>
          <w:sz w:val="36"/>
          <w:szCs w:val="36"/>
        </w:rPr>
      </w:pPr>
      <w:r>
        <w:rPr>
          <w:rFonts w:hint="eastAsia" w:ascii="Times New Roman" w:hAnsi="Times New Roman" w:eastAsia="仿宋_GB2312"/>
          <w:b/>
          <w:sz w:val="36"/>
          <w:szCs w:val="36"/>
        </w:rPr>
        <w:t>经营高危险性体育项目（游泳）审批条件及程序</w:t>
      </w:r>
    </w:p>
    <w:p w14:paraId="55B0AC48">
      <w:pPr>
        <w:rPr>
          <w:rFonts w:ascii="Times New Roman" w:hAnsi="Times New Roman" w:eastAsia="仿宋_GB2312"/>
          <w:sz w:val="30"/>
          <w:szCs w:val="30"/>
        </w:rPr>
      </w:pPr>
    </w:p>
    <w:p w14:paraId="070E50D3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一、审批依据</w:t>
      </w:r>
    </w:p>
    <w:p w14:paraId="3B73F4B2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（一）《全民健身条例》（2009年8月30日国务院令第560号发布）</w:t>
      </w:r>
    </w:p>
    <w:p w14:paraId="2D582129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（二）《经营高危险性体育项目许可管理办法》（2013年2月21日国家体育总局令第17号发布）</w:t>
      </w:r>
    </w:p>
    <w:p w14:paraId="5EBDA1FE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（三）《第一批高危险性体育项目目录公告》（2013年5月1日国家体育总局、人力资源和社会保障部、国家工商行政管理总局、国家质量监督检验检疫总局、国家安全生产监督管理总局公告第16号发布）</w:t>
      </w:r>
    </w:p>
    <w:p w14:paraId="06D224FE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二、审批条件</w:t>
      </w:r>
    </w:p>
    <w:p w14:paraId="60A006E0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（一）游泳池、救生设施、救生器材等设施符合国家标准（GB 19079.1-2003）；</w:t>
      </w:r>
    </w:p>
    <w:p w14:paraId="2343DD3C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（二）有符合国家标准（GB 19079.1-2003）数量要求的游泳救生员和社会体育指导员（游泳）；</w:t>
      </w:r>
    </w:p>
    <w:p w14:paraId="7C4CFF68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（三）有安全生产岗位责任制，溺水抢救操作规程，溺水突发事件应急预案，游泳设施、设备、器材安全检查制度、救生员定期培训制度等安全保障制度和措施。</w:t>
      </w:r>
    </w:p>
    <w:p w14:paraId="5EAF8C7E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三、审批单位</w:t>
      </w:r>
    </w:p>
    <w:p w14:paraId="352890E7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县级以上地方人民政府体育主管部门</w:t>
      </w:r>
    </w:p>
    <w:p w14:paraId="23A89D53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四、申请材料</w:t>
      </w:r>
    </w:p>
    <w:p w14:paraId="7DE3194F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（一）申请书。申请书应当包括申请人的名称、住所，拟经营的高危险性体育项目，拟成立经营机构的名称、地址、经营场所等内容；</w:t>
      </w:r>
    </w:p>
    <w:p w14:paraId="0C7F89C3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（二）体育设施符合相关国家标准的说明性材料（详见附件，申请人自行检查提供或检验机构、认证机构检查出具，需要合格证明的须出具合格证明）；</w:t>
      </w:r>
    </w:p>
    <w:p w14:paraId="421835DB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（三）经营场所的所有权或使用权证明及复印件；</w:t>
      </w:r>
    </w:p>
    <w:p w14:paraId="30CE76E9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（四）人力资源和社会保障部统一印制的社会体育指导员（游泳）、游泳救生员职业资格证书及复印件；</w:t>
      </w:r>
    </w:p>
    <w:p w14:paraId="514CE3AF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（五）安全保障制度和措施（深水游泳合格证验证制度、溺水抢救操作规程、溺水事故处理制度、救生员定期培训制度以及治安保卫、安全救护、卫生检查、设备维修、人员服务岗位责任制度等）的书面材料；</w:t>
      </w:r>
    </w:p>
    <w:p w14:paraId="173DD7BF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（六）法律、法规规定的其他材料。</w:t>
      </w:r>
    </w:p>
    <w:p w14:paraId="68EFC5D0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五、审批时限</w:t>
      </w:r>
    </w:p>
    <w:p w14:paraId="223922F2">
      <w:pPr>
        <w:ind w:firstLine="64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2"/>
          <w:szCs w:val="32"/>
        </w:rPr>
        <w:t>县级以上地方人民政府体育主管部门应当自收到申请之日起30日内进行实地核查，做出批准或者不予批准的决定。批准的，应当发给许可证；不予批准的，应当书面通知申请人并说明理由。</w:t>
      </w:r>
      <w:r>
        <w:rPr>
          <w:rFonts w:ascii="Times New Roman" w:hAnsi="Times New Roman" w:eastAsia="仿宋_GB2312"/>
          <w:sz w:val="30"/>
          <w:szCs w:val="30"/>
        </w:rPr>
        <w:br w:type="page"/>
      </w:r>
      <w:r>
        <w:rPr>
          <w:rFonts w:hint="eastAsia" w:ascii="Times New Roman" w:hAnsi="Times New Roman" w:eastAsia="仿宋_GB2312"/>
          <w:sz w:val="30"/>
          <w:szCs w:val="30"/>
        </w:rPr>
        <w:t>附件:</w:t>
      </w:r>
    </w:p>
    <w:p w14:paraId="507C5DD6">
      <w:pPr>
        <w:jc w:val="center"/>
        <w:rPr>
          <w:rFonts w:ascii="Times New Roman" w:hAnsi="Times New Roman" w:eastAsia="仿宋_GB2312"/>
          <w:b/>
          <w:sz w:val="36"/>
          <w:szCs w:val="36"/>
        </w:rPr>
      </w:pPr>
      <w:r>
        <w:rPr>
          <w:rFonts w:hint="eastAsia" w:ascii="Times New Roman" w:hAnsi="Times New Roman" w:eastAsia="仿宋_GB2312"/>
          <w:b/>
          <w:sz w:val="36"/>
          <w:szCs w:val="36"/>
        </w:rPr>
        <w:t>游泳场所体育设施符合相关国家标准的说明性材料</w:t>
      </w:r>
    </w:p>
    <w:p w14:paraId="04F1F893"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游泳场所名称：                 地址：</w:t>
      </w:r>
    </w:p>
    <w:p w14:paraId="313464DB"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游泳场所尺寸及面积：</w:t>
      </w:r>
    </w:p>
    <w:p w14:paraId="4584D893">
      <w:pPr>
        <w:rPr>
          <w:rFonts w:ascii="Times New Roman" w:hAnsi="Times New Roman" w:eastAsia="仿宋_GB2312"/>
          <w:sz w:val="30"/>
          <w:szCs w:val="30"/>
        </w:rPr>
      </w:pPr>
    </w:p>
    <w:tbl>
      <w:tblPr>
        <w:tblStyle w:val="4"/>
        <w:tblW w:w="10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416"/>
        <w:gridCol w:w="1262"/>
      </w:tblGrid>
      <w:tr w14:paraId="47179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shd w:val="clear" w:color="auto" w:fill="auto"/>
          </w:tcPr>
          <w:p w14:paraId="305FC6E2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场所</w:t>
            </w:r>
          </w:p>
        </w:tc>
        <w:tc>
          <w:tcPr>
            <w:tcW w:w="8416" w:type="dxa"/>
            <w:shd w:val="clear" w:color="auto" w:fill="auto"/>
            <w:vAlign w:val="center"/>
          </w:tcPr>
          <w:p w14:paraId="6A4B7A02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主要内容说明</w:t>
            </w:r>
          </w:p>
        </w:tc>
        <w:tc>
          <w:tcPr>
            <w:tcW w:w="1262" w:type="dxa"/>
            <w:shd w:val="clear" w:color="auto" w:fill="auto"/>
          </w:tcPr>
          <w:p w14:paraId="7DE10CD5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是否合格</w:t>
            </w:r>
          </w:p>
        </w:tc>
      </w:tr>
      <w:tr w14:paraId="5681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restart"/>
            <w:shd w:val="clear" w:color="auto" w:fill="auto"/>
            <w:textDirection w:val="tbRlV"/>
            <w:vAlign w:val="center"/>
          </w:tcPr>
          <w:p w14:paraId="6976DBC2"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人工游泳场所</w:t>
            </w:r>
          </w:p>
        </w:tc>
        <w:tc>
          <w:tcPr>
            <w:tcW w:w="8416" w:type="dxa"/>
            <w:shd w:val="clear" w:color="auto" w:fill="auto"/>
          </w:tcPr>
          <w:p w14:paraId="4505A1D5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游泳池壁及池底光洁、不渗水、呈浅色</w:t>
            </w:r>
          </w:p>
        </w:tc>
        <w:tc>
          <w:tcPr>
            <w:tcW w:w="1262" w:type="dxa"/>
            <w:shd w:val="clear" w:color="auto" w:fill="auto"/>
          </w:tcPr>
          <w:p w14:paraId="50505CD9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0F2D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shd w:val="clear" w:color="auto" w:fill="auto"/>
            <w:textDirection w:val="tbRlV"/>
            <w:vAlign w:val="center"/>
          </w:tcPr>
          <w:p w14:paraId="40144957"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14:paraId="225A22A7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游泳池壁及池底的建筑质量符合国家建筑规范要求，并有合格证明</w:t>
            </w:r>
          </w:p>
        </w:tc>
        <w:tc>
          <w:tcPr>
            <w:tcW w:w="1262" w:type="dxa"/>
            <w:shd w:val="clear" w:color="auto" w:fill="auto"/>
          </w:tcPr>
          <w:p w14:paraId="060FBC96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903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shd w:val="clear" w:color="auto" w:fill="auto"/>
          </w:tcPr>
          <w:p w14:paraId="427AFCCA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14:paraId="7D5F309C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池面有明显的水深度、深浅水区警示标识，或标志明显的深、浅水隔离带</w:t>
            </w:r>
          </w:p>
        </w:tc>
        <w:tc>
          <w:tcPr>
            <w:tcW w:w="1262" w:type="dxa"/>
            <w:shd w:val="clear" w:color="auto" w:fill="auto"/>
          </w:tcPr>
          <w:p w14:paraId="2CC1A649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D39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shd w:val="clear" w:color="auto" w:fill="auto"/>
          </w:tcPr>
          <w:p w14:paraId="3A564D04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14:paraId="1491C3BE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浅水区水深不超过1.2m</w:t>
            </w:r>
          </w:p>
        </w:tc>
        <w:tc>
          <w:tcPr>
            <w:tcW w:w="1262" w:type="dxa"/>
            <w:shd w:val="clear" w:color="auto" w:fill="auto"/>
          </w:tcPr>
          <w:p w14:paraId="5E9AB8F0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2270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shd w:val="clear" w:color="auto" w:fill="auto"/>
          </w:tcPr>
          <w:p w14:paraId="573AEB44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14:paraId="39C7D9B1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面积2000</w:t>
            </w:r>
            <w:r>
              <w:rPr>
                <w:rFonts w:hint="eastAsia" w:ascii="Times New Roman" w:hAnsi="Times New Roman"/>
                <w:sz w:val="24"/>
                <w:szCs w:val="24"/>
              </w:rPr>
              <w:t>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以下至少2个，2000</w:t>
            </w:r>
            <w:r>
              <w:rPr>
                <w:rFonts w:hint="eastAsia" w:ascii="Times New Roman" w:hAnsi="Times New Roman"/>
                <w:sz w:val="24"/>
                <w:szCs w:val="24"/>
              </w:rPr>
              <w:t>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以上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含</w:t>
            </w:r>
            <w:r>
              <w:rPr>
                <w:rFonts w:hint="eastAsia" w:ascii="Times New Roman" w:hAnsi="Times New Roman"/>
                <w:sz w:val="24"/>
                <w:szCs w:val="24"/>
              </w:rPr>
              <w:t>2000㎡）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至少4个出入水池扶梯</w:t>
            </w:r>
          </w:p>
        </w:tc>
        <w:tc>
          <w:tcPr>
            <w:tcW w:w="1262" w:type="dxa"/>
            <w:shd w:val="clear" w:color="auto" w:fill="auto"/>
          </w:tcPr>
          <w:p w14:paraId="547E110E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BCE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shd w:val="clear" w:color="auto" w:fill="auto"/>
          </w:tcPr>
          <w:p w14:paraId="7DFECEC9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14:paraId="196A5580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游泳池四周铺设有防滑走道，其地表面的静摩擦系数不少于0.5</w:t>
            </w:r>
          </w:p>
        </w:tc>
        <w:tc>
          <w:tcPr>
            <w:tcW w:w="1262" w:type="dxa"/>
            <w:shd w:val="clear" w:color="auto" w:fill="auto"/>
          </w:tcPr>
          <w:p w14:paraId="7EEFEDFC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C07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shd w:val="clear" w:color="auto" w:fill="auto"/>
          </w:tcPr>
          <w:p w14:paraId="34CCBF1F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14:paraId="2A9C58BB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游泳池内排水口设有安全防护网</w:t>
            </w:r>
          </w:p>
        </w:tc>
        <w:tc>
          <w:tcPr>
            <w:tcW w:w="1262" w:type="dxa"/>
            <w:shd w:val="clear" w:color="auto" w:fill="auto"/>
          </w:tcPr>
          <w:p w14:paraId="31B8FA79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980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shd w:val="clear" w:color="auto" w:fill="auto"/>
          </w:tcPr>
          <w:p w14:paraId="5ADA7D8F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14:paraId="465DC4DF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沉淀吸污设备或自动水循环过滤、消毒、吸底设备有国家质量监督检验检疫部门出具的合格证明</w:t>
            </w:r>
          </w:p>
        </w:tc>
        <w:tc>
          <w:tcPr>
            <w:tcW w:w="1262" w:type="dxa"/>
            <w:shd w:val="clear" w:color="auto" w:fill="auto"/>
          </w:tcPr>
          <w:p w14:paraId="134C3005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E63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05" w:type="dxa"/>
            <w:vMerge w:val="continue"/>
            <w:shd w:val="clear" w:color="auto" w:fill="auto"/>
          </w:tcPr>
          <w:p w14:paraId="69D93FC0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14:paraId="771FD039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游泳池水面光照度不低于80lx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</w:tcPr>
          <w:p w14:paraId="15B0F555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0B9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shd w:val="clear" w:color="auto" w:fill="auto"/>
          </w:tcPr>
          <w:p w14:paraId="35F60864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14:paraId="42A72A01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开放夜场有足够的应急照明灯</w:t>
            </w:r>
          </w:p>
        </w:tc>
        <w:tc>
          <w:tcPr>
            <w:tcW w:w="1262" w:type="dxa"/>
            <w:shd w:val="clear" w:color="auto" w:fill="auto"/>
          </w:tcPr>
          <w:p w14:paraId="4A05929A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C06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shd w:val="clear" w:color="auto" w:fill="auto"/>
          </w:tcPr>
          <w:p w14:paraId="7DBD1AD4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14:paraId="6D5BEC24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更衣室与游泳池中间的走道地表面的静摩擦系数不小于0.5</w:t>
            </w:r>
          </w:p>
        </w:tc>
        <w:tc>
          <w:tcPr>
            <w:tcW w:w="1262" w:type="dxa"/>
            <w:shd w:val="clear" w:color="auto" w:fill="auto"/>
          </w:tcPr>
          <w:p w14:paraId="08A36F3D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EBA8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shd w:val="clear" w:color="auto" w:fill="auto"/>
          </w:tcPr>
          <w:p w14:paraId="5338DD2B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14:paraId="55223413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有广播设施</w:t>
            </w:r>
          </w:p>
        </w:tc>
        <w:tc>
          <w:tcPr>
            <w:tcW w:w="1262" w:type="dxa"/>
            <w:shd w:val="clear" w:color="auto" w:fill="auto"/>
          </w:tcPr>
          <w:p w14:paraId="6243D6A7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3D8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shd w:val="clear" w:color="auto" w:fill="auto"/>
          </w:tcPr>
          <w:p w14:paraId="64E6D93D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14:paraId="4FDAF8FA">
            <w:pPr>
              <w:rPr>
                <w:rFonts w:ascii="Times New Roman" w:hAnsi="Times New Roman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人员出入口及疏散通道符合建筑规范和消防规范，并有合格证明</w:t>
            </w:r>
          </w:p>
        </w:tc>
        <w:tc>
          <w:tcPr>
            <w:tcW w:w="1262" w:type="dxa"/>
            <w:shd w:val="clear" w:color="auto" w:fill="auto"/>
          </w:tcPr>
          <w:p w14:paraId="4A34703B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C9D2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shd w:val="clear" w:color="auto" w:fill="auto"/>
          </w:tcPr>
          <w:p w14:paraId="2DD0122C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14:paraId="214BF101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面积250</w:t>
            </w:r>
            <w:r>
              <w:rPr>
                <w:rFonts w:hint="eastAsia" w:ascii="Times New Roman" w:hAnsi="Times New Roman"/>
                <w:sz w:val="24"/>
                <w:szCs w:val="24"/>
              </w:rPr>
              <w:t>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以下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含</w:t>
            </w:r>
            <w:r>
              <w:rPr>
                <w:rFonts w:hint="eastAsia" w:ascii="Times New Roman" w:hAnsi="Times New Roman"/>
                <w:sz w:val="24"/>
                <w:szCs w:val="24"/>
              </w:rPr>
              <w:t>250㎡）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至少2个，以上每增加250</w:t>
            </w:r>
            <w:r>
              <w:rPr>
                <w:rFonts w:hint="eastAsia" w:ascii="Times New Roman" w:hAnsi="Times New Roman"/>
                <w:sz w:val="24"/>
                <w:szCs w:val="24"/>
              </w:rPr>
              <w:t>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及以内增加1个救生观察台</w:t>
            </w:r>
          </w:p>
        </w:tc>
        <w:tc>
          <w:tcPr>
            <w:tcW w:w="1262" w:type="dxa"/>
            <w:shd w:val="clear" w:color="auto" w:fill="auto"/>
          </w:tcPr>
          <w:p w14:paraId="1146E0AE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D514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shd w:val="clear" w:color="auto" w:fill="auto"/>
          </w:tcPr>
          <w:p w14:paraId="19D91F97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14:paraId="51009ADF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救生观察台高度不低于1.5m</w:t>
            </w:r>
          </w:p>
        </w:tc>
        <w:tc>
          <w:tcPr>
            <w:tcW w:w="1262" w:type="dxa"/>
            <w:shd w:val="clear" w:color="auto" w:fill="auto"/>
          </w:tcPr>
          <w:p w14:paraId="0E3B7ABB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57D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shd w:val="clear" w:color="auto" w:fill="auto"/>
          </w:tcPr>
          <w:p w14:paraId="36E7344A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14:paraId="4D0F668F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有救生圈、救生杆和护颈套等救生器材</w:t>
            </w:r>
          </w:p>
        </w:tc>
        <w:tc>
          <w:tcPr>
            <w:tcW w:w="1262" w:type="dxa"/>
            <w:shd w:val="clear" w:color="auto" w:fill="auto"/>
          </w:tcPr>
          <w:p w14:paraId="64E8642D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53639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shd w:val="clear" w:color="auto" w:fill="auto"/>
          </w:tcPr>
          <w:p w14:paraId="03666B54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14:paraId="020FC5D7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有急救药品、氧气袋等急救用品</w:t>
            </w:r>
          </w:p>
        </w:tc>
        <w:tc>
          <w:tcPr>
            <w:tcW w:w="1262" w:type="dxa"/>
            <w:shd w:val="clear" w:color="auto" w:fill="auto"/>
          </w:tcPr>
          <w:p w14:paraId="00D363BE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E226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shd w:val="clear" w:color="auto" w:fill="auto"/>
          </w:tcPr>
          <w:p w14:paraId="16976586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14:paraId="51F3C2B8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嬉水池内的设施设备有国家质量监督检验检疫部门出具的合格证明</w:t>
            </w:r>
          </w:p>
        </w:tc>
        <w:tc>
          <w:tcPr>
            <w:tcW w:w="1262" w:type="dxa"/>
            <w:shd w:val="clear" w:color="auto" w:fill="auto"/>
          </w:tcPr>
          <w:p w14:paraId="772F1467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49C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shd w:val="clear" w:color="auto" w:fill="auto"/>
          </w:tcPr>
          <w:p w14:paraId="713D1169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14:paraId="650D7964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在醒目位置悬挂社会体育指导员（游泳）、游泳救生员的姓名、照片、职业资格证书编号等信息</w:t>
            </w:r>
          </w:p>
        </w:tc>
        <w:tc>
          <w:tcPr>
            <w:tcW w:w="1262" w:type="dxa"/>
            <w:shd w:val="clear" w:color="auto" w:fill="auto"/>
          </w:tcPr>
          <w:p w14:paraId="7599ABF5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3405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shd w:val="clear" w:color="auto" w:fill="auto"/>
          </w:tcPr>
          <w:p w14:paraId="571386D2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14:paraId="7A2D9511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在醒目位置悬挂“游泳人员须知”、“严禁跳水”、“严禁追跑打闹”、“防滑”、“佩戴泳帽”等必要的安全警示</w:t>
            </w:r>
          </w:p>
        </w:tc>
        <w:tc>
          <w:tcPr>
            <w:tcW w:w="1262" w:type="dxa"/>
            <w:shd w:val="clear" w:color="auto" w:fill="auto"/>
          </w:tcPr>
          <w:p w14:paraId="40CF97DC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7E9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vMerge w:val="continue"/>
            <w:shd w:val="clear" w:color="auto" w:fill="auto"/>
          </w:tcPr>
          <w:p w14:paraId="0FF1D567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6" w:type="dxa"/>
            <w:shd w:val="clear" w:color="auto" w:fill="auto"/>
          </w:tcPr>
          <w:p w14:paraId="687D68FD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在醒目位置悬挂溺水抢救操作规程及溺水事故处理制度等</w:t>
            </w:r>
          </w:p>
        </w:tc>
        <w:tc>
          <w:tcPr>
            <w:tcW w:w="1262" w:type="dxa"/>
            <w:shd w:val="clear" w:color="auto" w:fill="auto"/>
          </w:tcPr>
          <w:p w14:paraId="3711F991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 w14:paraId="54F3A921">
      <w:pPr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 w14:paraId="13F26EFF"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检查人：                        </w:t>
      </w:r>
    </w:p>
    <w:p w14:paraId="09455A4D"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检查单位（盖章）：                    年    月     日</w:t>
      </w:r>
    </w:p>
    <w:p w14:paraId="7A64D7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4A"/>
    <w:rsid w:val="00014533"/>
    <w:rsid w:val="00017D98"/>
    <w:rsid w:val="00174C92"/>
    <w:rsid w:val="00184D50"/>
    <w:rsid w:val="001C2525"/>
    <w:rsid w:val="002A7261"/>
    <w:rsid w:val="004D00FB"/>
    <w:rsid w:val="00C970A6"/>
    <w:rsid w:val="00CB4F4A"/>
    <w:rsid w:val="00CD6C96"/>
    <w:rsid w:val="00E263F1"/>
    <w:rsid w:val="00F55FE0"/>
    <w:rsid w:val="5C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1337</Words>
  <Characters>1405</Characters>
  <Lines>11</Lines>
  <Paragraphs>3</Paragraphs>
  <TotalTime>2</TotalTime>
  <ScaleCrop>false</ScaleCrop>
  <LinksUpToDate>false</LinksUpToDate>
  <CharactersWithSpaces>1478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2013-04-28T03:39:00Z</dcterms:created>
  <dc:creator>zfs</dc:creator>
  <cp:lastModifiedBy>安哥拉长毛兔</cp:lastModifiedBy>
  <dcterms:modified xsi:type="dcterms:W3CDTF">2025-05-15T02:58:32Z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eyJoZGlkIjoiZTE5MDVjMjhlMzk1MGQyMzgyYjc1YzYyMzZjOGZjYTAiLCJ1c2VySWQiOiI0NTAwODk0MjAifQ==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94C284C6FC0B43AFA883F77A7BF82527_12</vt:lpwstr>
  </property>
</Properties>
</file>